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79" w:rsidRPr="00A17D79" w:rsidRDefault="00A17D79" w:rsidP="00A17D79">
      <w:pPr>
        <w:pBdr>
          <w:bottom w:val="single" w:sz="6" w:space="7" w:color="EEEEEE"/>
        </w:pBdr>
        <w:spacing w:before="300" w:after="300" w:line="240" w:lineRule="auto"/>
        <w:jc w:val="center"/>
        <w:outlineLvl w:val="1"/>
        <w:rPr>
          <w:rFonts w:ascii="inherit" w:eastAsia="Times New Roman" w:hAnsi="inherit" w:cs="Times New Roman"/>
          <w:sz w:val="54"/>
          <w:szCs w:val="54"/>
          <w:lang w:eastAsia="uk-UA"/>
        </w:rPr>
      </w:pPr>
      <w:r w:rsidRPr="00A17D79">
        <w:rPr>
          <w:rFonts w:ascii="inherit" w:eastAsia="Times New Roman" w:hAnsi="inherit" w:cs="Times New Roman"/>
          <w:sz w:val="54"/>
          <w:szCs w:val="54"/>
          <w:lang w:eastAsia="uk-UA"/>
        </w:rPr>
        <w:t>Асоціація звернулася до Уряду та Мінфіну щодо проблемних питань бюджетів ОТГ у 2020-2021 роках</w:t>
      </w:r>
    </w:p>
    <w:p w:rsidR="00A17D79" w:rsidRPr="00A17D79" w:rsidRDefault="00A17D79" w:rsidP="00A17D79">
      <w:pPr>
        <w:spacing w:after="0" w:line="240" w:lineRule="auto"/>
        <w:rPr>
          <w:rFonts w:ascii="Times New Roman" w:eastAsia="Times New Roman" w:hAnsi="Times New Roman" w:cs="Times New Roman"/>
          <w:sz w:val="24"/>
          <w:szCs w:val="24"/>
          <w:lang w:eastAsia="uk-UA"/>
        </w:rPr>
      </w:pPr>
      <w:r w:rsidRPr="00A17D79">
        <w:rPr>
          <w:rFonts w:ascii="Times New Roman" w:eastAsia="Times New Roman" w:hAnsi="Times New Roman" w:cs="Times New Roman"/>
          <w:sz w:val="24"/>
          <w:szCs w:val="24"/>
          <w:lang w:eastAsia="uk-UA"/>
        </w:rPr>
        <w:t>Липень 28, 2020</w:t>
      </w:r>
    </w:p>
    <w:p w:rsidR="00A17D79" w:rsidRPr="00A17D79" w:rsidRDefault="00A17D79" w:rsidP="00A17D79">
      <w:pPr>
        <w:shd w:val="clear" w:color="auto" w:fill="FFFFFF"/>
        <w:spacing w:after="150" w:line="240" w:lineRule="auto"/>
        <w:rPr>
          <w:rFonts w:ascii="Helvetica" w:eastAsia="Times New Roman" w:hAnsi="Helvetica" w:cs="Times New Roman"/>
          <w:sz w:val="24"/>
          <w:szCs w:val="24"/>
          <w:lang w:eastAsia="uk-UA"/>
        </w:rPr>
      </w:pPr>
      <w:r w:rsidRPr="00A17D79">
        <w:rPr>
          <w:rFonts w:ascii="Helvetica" w:eastAsia="Times New Roman" w:hAnsi="Helvetica" w:cs="Times New Roman"/>
          <w:noProof/>
          <w:sz w:val="24"/>
          <w:szCs w:val="24"/>
          <w:lang w:eastAsia="uk-UA"/>
        </w:rPr>
        <w:drawing>
          <wp:inline distT="0" distB="0" distL="0" distR="0" wp14:anchorId="5D7FE687" wp14:editId="0EBBA1C3">
            <wp:extent cx="6096000" cy="4048125"/>
            <wp:effectExtent l="0" t="0" r="0" b="9525"/>
            <wp:docPr id="1" name="Рисунок 1" descr="Асоціація звернулася до Уряду та Мінфіну щодо проблемних питань бюджетів ОТГ у 2020-2021 ро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соціація звернулася до Уряду та Мінфіну щодо проблемних питань бюджетів ОТГ у 2020-2021 рока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A17D79" w:rsidRDefault="00A17D79" w:rsidP="00A17D79">
      <w:pPr>
        <w:shd w:val="clear" w:color="auto" w:fill="FFFFFF"/>
        <w:spacing w:after="150" w:line="240" w:lineRule="auto"/>
        <w:jc w:val="both"/>
        <w:rPr>
          <w:rFonts w:ascii="Times New Roman" w:eastAsia="Times New Roman" w:hAnsi="Times New Roman" w:cs="Times New Roman"/>
          <w:sz w:val="28"/>
          <w:szCs w:val="28"/>
          <w:lang w:eastAsia="uk-UA"/>
        </w:rPr>
      </w:pP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Асоціація ОТГ закликала органи державної  влади до конструктивного діалогу та пошуку компромісних рішень щодо вирішення проблемних питань бюджетів місцевого самоврядування у 2020 та 2021 роках, оскільки цілий ряд накопичених проблем у цій сфері станом на тепер потребують вирішення власне на рівні держави. В іншому випадку бюджети місцевого самоврядування продовжуватимуть заглиблюватися у кризову ситуацію.</w:t>
      </w:r>
    </w:p>
    <w:p w:rsidR="00A17D79" w:rsidRPr="00A17D79" w:rsidRDefault="00A17D79" w:rsidP="00A17D79">
      <w:pPr>
        <w:shd w:val="clear" w:color="auto" w:fill="FFFFFF"/>
        <w:spacing w:after="150"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w:t>
      </w:r>
    </w:p>
    <w:p w:rsidR="00A17D79" w:rsidRPr="00A17D79" w:rsidRDefault="00A17D79" w:rsidP="00A17D79">
      <w:pPr>
        <w:shd w:val="clear" w:color="auto" w:fill="FFFFFF"/>
        <w:spacing w:after="150"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b/>
          <w:bCs/>
          <w:i/>
          <w:iCs/>
          <w:sz w:val="28"/>
          <w:szCs w:val="28"/>
          <w:lang w:eastAsia="uk-UA"/>
        </w:rPr>
        <w:t>Щодо проблемних питань бюджетів об’єднаних територіальних громад у 2020 році:</w:t>
      </w:r>
    </w:p>
    <w:p w:rsidR="00A17D79" w:rsidRPr="00A17D79" w:rsidRDefault="00A17D79" w:rsidP="00A17D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i/>
          <w:iCs/>
          <w:sz w:val="28"/>
          <w:szCs w:val="28"/>
          <w:lang w:eastAsia="uk-UA"/>
        </w:rPr>
        <w:t>відновити субвенцію з державного бюджету місцевим бюджетам на підтримку розвитку об’єднаних територіальних громад </w:t>
      </w:r>
      <w:r w:rsidRPr="00A17D79">
        <w:rPr>
          <w:rFonts w:ascii="Times New Roman" w:eastAsia="Times New Roman" w:hAnsi="Times New Roman" w:cs="Times New Roman"/>
          <w:sz w:val="28"/>
          <w:szCs w:val="28"/>
          <w:lang w:eastAsia="uk-UA"/>
        </w:rPr>
        <w:t xml:space="preserve">на підставі статті 28 Закону України “Про Державний бюджет України на 2020 рік”. Позитивне вирішення даного питання дозволить зняти цілий ряд накопичених проблем, в тому числі пов’язаних з боротьбою з гострою </w:t>
      </w:r>
      <w:r w:rsidRPr="00A17D79">
        <w:rPr>
          <w:rFonts w:ascii="Times New Roman" w:eastAsia="Times New Roman" w:hAnsi="Times New Roman" w:cs="Times New Roman"/>
          <w:sz w:val="28"/>
          <w:szCs w:val="28"/>
          <w:lang w:eastAsia="uk-UA"/>
        </w:rPr>
        <w:lastRenderedPageBreak/>
        <w:t xml:space="preserve">респіраторною хворобою COVID-19, спричиненою </w:t>
      </w:r>
      <w:proofErr w:type="spellStart"/>
      <w:r w:rsidRPr="00A17D79">
        <w:rPr>
          <w:rFonts w:ascii="Times New Roman" w:eastAsia="Times New Roman" w:hAnsi="Times New Roman" w:cs="Times New Roman"/>
          <w:sz w:val="28"/>
          <w:szCs w:val="28"/>
          <w:lang w:eastAsia="uk-UA"/>
        </w:rPr>
        <w:t>коронавірусом</w:t>
      </w:r>
      <w:proofErr w:type="spellEnd"/>
      <w:r w:rsidRPr="00A17D79">
        <w:rPr>
          <w:rFonts w:ascii="Times New Roman" w:eastAsia="Times New Roman" w:hAnsi="Times New Roman" w:cs="Times New Roman"/>
          <w:sz w:val="28"/>
          <w:szCs w:val="28"/>
          <w:lang w:eastAsia="uk-UA"/>
        </w:rPr>
        <w:t xml:space="preserve"> SARS-CoV-2.</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Позицію Асоціації ОТГ підтримало Міністерство розвитку громад та територій України і звернулося до Кабінету Міністрів України з проханням розглянути питання щодо відновлення видатків державного бюджету за бюджетною програмою “Субвенція з державного бюджету місцевим бюджетам на підтримку розвитку об’єднаних територіальних громад” (лист від 12.05.2020 №1/34.4/3943-20).</w:t>
      </w:r>
    </w:p>
    <w:p w:rsidR="00A17D79" w:rsidRPr="00A17D79" w:rsidRDefault="00A17D79" w:rsidP="00A17D7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i/>
          <w:iCs/>
          <w:sz w:val="28"/>
          <w:szCs w:val="28"/>
          <w:lang w:eastAsia="uk-UA"/>
        </w:rPr>
        <w:t>відновити дію статті 103 Бюджетного кодексу України та забезпечити компенсацією втрат доходів місцевих бюджетів внаслідок наданих державою податкових пільг</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xml:space="preserve">Прийняті зміни до податкового законодавства щодо підтримки платників податків у зв’язку із здійснення заходів, спрямованих на запобігання виникнення і поширення </w:t>
      </w:r>
      <w:proofErr w:type="spellStart"/>
      <w:r w:rsidRPr="00A17D79">
        <w:rPr>
          <w:rFonts w:ascii="Times New Roman" w:eastAsia="Times New Roman" w:hAnsi="Times New Roman" w:cs="Times New Roman"/>
          <w:sz w:val="28"/>
          <w:szCs w:val="28"/>
          <w:lang w:eastAsia="uk-UA"/>
        </w:rPr>
        <w:t>коронавірусної</w:t>
      </w:r>
      <w:proofErr w:type="spellEnd"/>
      <w:r w:rsidRPr="00A17D79">
        <w:rPr>
          <w:rFonts w:ascii="Times New Roman" w:eastAsia="Times New Roman" w:hAnsi="Times New Roman" w:cs="Times New Roman"/>
          <w:sz w:val="28"/>
          <w:szCs w:val="28"/>
          <w:lang w:eastAsia="uk-UA"/>
        </w:rPr>
        <w:t xml:space="preserve"> хвороби (COVID-19), призвели до непередбачуваних втрат місцевих бюджетів від надходжень місцевих податків таких як плата за землю та податок на нерухоме майно, відмінне від земельної ділянки. Внесення подібних змін повинно супроводжуватися компенсацією втрат доходів місцевих бюджетів з державного бюджету внаслідок наданих державою податкових пільг у відповідності до статті 103 Бюджетного кодексу України.</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xml:space="preserve">Асоціація ОТГ констатує, що органи місцевого самоврядування  з самого початку на рівні з органами державної влади взяли на себе всю повноту відповідальності за здійснення всіх заходів, спрямованих на запобігання виникнення і поширення </w:t>
      </w:r>
      <w:proofErr w:type="spellStart"/>
      <w:r w:rsidRPr="00A17D79">
        <w:rPr>
          <w:rFonts w:ascii="Times New Roman" w:eastAsia="Times New Roman" w:hAnsi="Times New Roman" w:cs="Times New Roman"/>
          <w:sz w:val="28"/>
          <w:szCs w:val="28"/>
          <w:lang w:eastAsia="uk-UA"/>
        </w:rPr>
        <w:t>коронавірусної</w:t>
      </w:r>
      <w:proofErr w:type="spellEnd"/>
      <w:r w:rsidRPr="00A17D79">
        <w:rPr>
          <w:rFonts w:ascii="Times New Roman" w:eastAsia="Times New Roman" w:hAnsi="Times New Roman" w:cs="Times New Roman"/>
          <w:sz w:val="28"/>
          <w:szCs w:val="28"/>
          <w:lang w:eastAsia="uk-UA"/>
        </w:rPr>
        <w:t xml:space="preserve"> хвороби (COVID-19). Органи ОТГ витратили сотні тисяч гривень, подекуди </w:t>
      </w:r>
      <w:proofErr w:type="spellStart"/>
      <w:r w:rsidRPr="00A17D79">
        <w:rPr>
          <w:rFonts w:ascii="Times New Roman" w:eastAsia="Times New Roman" w:hAnsi="Times New Roman" w:cs="Times New Roman"/>
          <w:sz w:val="28"/>
          <w:szCs w:val="28"/>
          <w:lang w:eastAsia="uk-UA"/>
        </w:rPr>
        <w:t>міліони</w:t>
      </w:r>
      <w:proofErr w:type="spellEnd"/>
      <w:r w:rsidRPr="00A17D79">
        <w:rPr>
          <w:rFonts w:ascii="Times New Roman" w:eastAsia="Times New Roman" w:hAnsi="Times New Roman" w:cs="Times New Roman"/>
          <w:sz w:val="28"/>
          <w:szCs w:val="28"/>
          <w:lang w:eastAsia="uk-UA"/>
        </w:rPr>
        <w:t xml:space="preserve"> гривень, які не були заплановані під час формування і затвердження місцевих бюджетів, на надання допомоги закладам охорони здоров’я для закупівлі обладнання та засобів захисту медичного персоналу, закупівлю дезінфікуючих засобів та апаратів для органів влади, </w:t>
      </w:r>
      <w:proofErr w:type="spellStart"/>
      <w:r w:rsidRPr="00A17D79">
        <w:rPr>
          <w:rFonts w:ascii="Times New Roman" w:eastAsia="Times New Roman" w:hAnsi="Times New Roman" w:cs="Times New Roman"/>
          <w:sz w:val="28"/>
          <w:szCs w:val="28"/>
          <w:lang w:eastAsia="uk-UA"/>
        </w:rPr>
        <w:t>ЦНАПів</w:t>
      </w:r>
      <w:proofErr w:type="spellEnd"/>
      <w:r w:rsidRPr="00A17D79">
        <w:rPr>
          <w:rFonts w:ascii="Times New Roman" w:eastAsia="Times New Roman" w:hAnsi="Times New Roman" w:cs="Times New Roman"/>
          <w:sz w:val="28"/>
          <w:szCs w:val="28"/>
          <w:lang w:eastAsia="uk-UA"/>
        </w:rPr>
        <w:t>, об’єктів соціальної інфраструктури, зокрема шкіл, дитячих садочків тощо.</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При цьому, у зв’язку із прийнятими змінами до податкового законодавства та сповільненням економічної активності суттєві втрати спостерігаються у дохідній частині бюджетів об’єднаних територіальних громад, зокрема від надходжень:</w:t>
      </w:r>
      <w:bookmarkStart w:id="0" w:name="_GoBack"/>
      <w:bookmarkEnd w:id="0"/>
    </w:p>
    <w:p w:rsidR="00A17D79" w:rsidRPr="00A17D79" w:rsidRDefault="00A17D79" w:rsidP="00A17D7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податку на доходи фізичних осіб, що сплачуються податковими агентами із доходів платників податку у вигляді заробітної плати тощо;</w:t>
      </w:r>
    </w:p>
    <w:p w:rsidR="00A17D79" w:rsidRPr="00A17D79" w:rsidRDefault="00A17D79" w:rsidP="00A17D7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податку з реалізації суб’єктами господарювання роздрібної торгівлі підакцизних товарів;</w:t>
      </w:r>
    </w:p>
    <w:p w:rsidR="00A17D79" w:rsidRPr="00A17D79" w:rsidRDefault="00A17D79" w:rsidP="00A17D7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земельного податку з юридичних осіб та орендної плати за землю;</w:t>
      </w:r>
    </w:p>
    <w:p w:rsidR="00A17D79" w:rsidRPr="00A17D79" w:rsidRDefault="00A17D79" w:rsidP="00A17D7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податку на нерухоме майно, відмінне від земельного податку.</w:t>
      </w:r>
    </w:p>
    <w:p w:rsidR="00A17D79" w:rsidRPr="00A17D79" w:rsidRDefault="00A17D79" w:rsidP="00A17D79">
      <w:pPr>
        <w:shd w:val="clear" w:color="auto" w:fill="FFFFFF"/>
        <w:spacing w:after="150"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b/>
          <w:bCs/>
          <w:i/>
          <w:iCs/>
          <w:sz w:val="28"/>
          <w:szCs w:val="28"/>
          <w:lang w:eastAsia="uk-UA"/>
        </w:rPr>
        <w:lastRenderedPageBreak/>
        <w:t>Щодо актуальних проблемних питань наступного бюджетного періоду, </w:t>
      </w:r>
      <w:r w:rsidRPr="00A17D79">
        <w:rPr>
          <w:rFonts w:ascii="Times New Roman" w:eastAsia="Times New Roman" w:hAnsi="Times New Roman" w:cs="Times New Roman"/>
          <w:sz w:val="28"/>
          <w:szCs w:val="28"/>
          <w:lang w:eastAsia="uk-UA"/>
        </w:rPr>
        <w:t>то пріоритетними залишаються питання необхідності розмежування повноважень, їх фінансового забезпечення, міжбюджетного вирівнювання.</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xml:space="preserve">Сьогодні на рівні держави проводиться велика робота в напрямі розподілу повноважень на власні та делеговані, ведеться гостра дискусія навколо цієї проблематики, однак поза належною увагою залишається питання фінансового забезпечення таких повноважень. Попередній аналіз розмежованих повноважень органів місцевого самоврядування у рамках Концепції щодо внесення змін до законів України «Про місцеве самоврядування в Україні» та «Про місцеві державні адміністрації» свідчить, що обсяг повноважень органів місцевого самоврядування лише розширюється, при цьому про збільшення джерельної бази для виконання таких повноважень мови поки-що не йде. Асоціацію ОТГ непокоїть подібний стан речей, оскільки всі бюджети, що становлять бюджетну систему України, повинні бути збалансованими, базуватися на реалістичних </w:t>
      </w:r>
      <w:proofErr w:type="spellStart"/>
      <w:r w:rsidRPr="00A17D79">
        <w:rPr>
          <w:rFonts w:ascii="Times New Roman" w:eastAsia="Times New Roman" w:hAnsi="Times New Roman" w:cs="Times New Roman"/>
          <w:sz w:val="28"/>
          <w:szCs w:val="28"/>
          <w:lang w:eastAsia="uk-UA"/>
        </w:rPr>
        <w:t>макропоказниках</w:t>
      </w:r>
      <w:proofErr w:type="spellEnd"/>
      <w:r w:rsidRPr="00A17D79">
        <w:rPr>
          <w:rFonts w:ascii="Times New Roman" w:eastAsia="Times New Roman" w:hAnsi="Times New Roman" w:cs="Times New Roman"/>
          <w:sz w:val="28"/>
          <w:szCs w:val="28"/>
          <w:lang w:eastAsia="uk-UA"/>
        </w:rPr>
        <w:t xml:space="preserve"> економічного і соціального розвитку України та розрахунках надходжень і витрат бюджетів.</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b/>
          <w:sz w:val="28"/>
          <w:szCs w:val="28"/>
          <w:lang w:eastAsia="uk-UA"/>
        </w:rPr>
      </w:pPr>
      <w:r w:rsidRPr="00A17D79">
        <w:rPr>
          <w:rFonts w:ascii="Times New Roman" w:eastAsia="Times New Roman" w:hAnsi="Times New Roman" w:cs="Times New Roman"/>
          <w:sz w:val="28"/>
          <w:szCs w:val="28"/>
          <w:lang w:eastAsia="uk-UA"/>
        </w:rPr>
        <w:t xml:space="preserve">Асоціація ОТГ уже порушувала питання створення законодавчого підґрунтя в частині об’єктивного співвідношення видаткових повноважень органів ОТГ та дохідних джерел їх здійснення, і зокрема – необхідності збільшення до 80 відсотків ПДФО у доходах загального фонду бюджетів місцевого самоврядування (лист Асоціації ОТГ від 26.03.2020 № 0111), і цілком погоджується з Мінфіном, що дане питання повинно розглядатися комплексно в рамках здійснення заходів з децентралізації та розмежування повноважень між органами виконавчої влади. Однак, дане питання повинно розглядатися ще й конструктивно, із предметним вивченням всіх проблемних питань, які щороку накопичуються у бюджетах місцевого самоврядування в процесі уже самої децентралізації. В ситуації, коли передаються повноваження, і не переглядаються джерела здійснення таких повноважень, децентралізація як така, опиняється під загрозою. Мінфін констатує, що збільшення відсотка ПДФО для місцевих бюджетів тягне за собою суттєве зменшення доходів державного бюджету, які спрямовуються зокрема на соціальний захист та соціальне забезпечення. </w:t>
      </w:r>
      <w:r w:rsidRPr="00A17D79">
        <w:rPr>
          <w:rFonts w:ascii="Times New Roman" w:eastAsia="Times New Roman" w:hAnsi="Times New Roman" w:cs="Times New Roman"/>
          <w:b/>
          <w:sz w:val="28"/>
          <w:szCs w:val="28"/>
          <w:lang w:eastAsia="uk-UA"/>
        </w:rPr>
        <w:t>Асоціація ОТГ не погоджується з такою аргументацією, оскільки, на сьогодні здійснення видатків у цій сфері фактично у повній мірі перекладається на органи місцевого самоврядування, включаючи компенсаційні виплати за пільговий проїзд окремих категорій громадян, пільги з послуг зв’язку, інші передбачені законодавством пільги.</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b/>
          <w:sz w:val="28"/>
          <w:szCs w:val="28"/>
          <w:lang w:eastAsia="uk-UA"/>
        </w:rPr>
      </w:pPr>
      <w:r w:rsidRPr="00A17D79">
        <w:rPr>
          <w:rFonts w:ascii="Times New Roman" w:eastAsia="Times New Roman" w:hAnsi="Times New Roman" w:cs="Times New Roman"/>
          <w:sz w:val="28"/>
          <w:szCs w:val="28"/>
          <w:lang w:eastAsia="uk-UA"/>
        </w:rPr>
        <w:t xml:space="preserve">Значний обсяг бюджетних коштів на виконання делегованих повноважень </w:t>
      </w:r>
      <w:r w:rsidRPr="00A17D79">
        <w:rPr>
          <w:rFonts w:ascii="Times New Roman" w:eastAsia="Times New Roman" w:hAnsi="Times New Roman" w:cs="Times New Roman"/>
          <w:b/>
          <w:sz w:val="28"/>
          <w:szCs w:val="28"/>
          <w:lang w:eastAsia="uk-UA"/>
        </w:rPr>
        <w:t>органи ОТГ спрямовують на галузі освіти та охорони здоров’я:</w:t>
      </w:r>
    </w:p>
    <w:p w:rsidR="00A17D79" w:rsidRPr="00A17D79" w:rsidRDefault="00A17D79" w:rsidP="00A17D79">
      <w:pPr>
        <w:shd w:val="clear" w:color="auto" w:fill="FFFFFF"/>
        <w:spacing w:after="150" w:line="240" w:lineRule="auto"/>
        <w:jc w:val="both"/>
        <w:rPr>
          <w:rFonts w:ascii="Times New Roman" w:eastAsia="Times New Roman" w:hAnsi="Times New Roman" w:cs="Times New Roman"/>
          <w:b/>
          <w:sz w:val="28"/>
          <w:szCs w:val="28"/>
          <w:lang w:eastAsia="uk-UA"/>
        </w:rPr>
      </w:pPr>
      <w:r w:rsidRPr="00A17D79">
        <w:rPr>
          <w:rFonts w:ascii="Times New Roman" w:eastAsia="Times New Roman" w:hAnsi="Times New Roman" w:cs="Times New Roman"/>
          <w:b/>
          <w:sz w:val="28"/>
          <w:szCs w:val="28"/>
          <w:lang w:eastAsia="uk-UA"/>
        </w:rPr>
        <w:t xml:space="preserve">– у сфері освіти: освітньої субвенції не вистачає на всі видатки цієї галузі, субвенція фактично спрямовується лише на оплату праці педагогічних працівників, а всі інші видатки (оплата праці з нарахуваннями обслуговуючого персоналу, підвезення учнів, оплата комунальних послуг тощо) на функціонування цієї галузі, в тому числі на дошкільну та </w:t>
      </w:r>
      <w:r w:rsidRPr="00A17D79">
        <w:rPr>
          <w:rFonts w:ascii="Times New Roman" w:eastAsia="Times New Roman" w:hAnsi="Times New Roman" w:cs="Times New Roman"/>
          <w:b/>
          <w:sz w:val="28"/>
          <w:szCs w:val="28"/>
          <w:lang w:eastAsia="uk-UA"/>
        </w:rPr>
        <w:lastRenderedPageBreak/>
        <w:t>позашкільну освіту, громади забезпечують бюджетними коштами за рахунок доходів загального фонду бюджетів ОТГ;</w:t>
      </w:r>
    </w:p>
    <w:p w:rsidR="00A17D79" w:rsidRPr="00A17D79" w:rsidRDefault="00A17D79" w:rsidP="00A17D79">
      <w:pPr>
        <w:shd w:val="clear" w:color="auto" w:fill="FFFFFF"/>
        <w:spacing w:after="150" w:line="240" w:lineRule="auto"/>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xml:space="preserve">– у сфері охорони здоров’я, коштів, що перераховуються Національною службою охорони здоров’я України медичним закладам за договорами про медичне обслуговування населення за програмою медичних гарантій  також не вистачає, </w:t>
      </w:r>
      <w:proofErr w:type="spellStart"/>
      <w:r w:rsidRPr="00A17D79">
        <w:rPr>
          <w:rFonts w:ascii="Times New Roman" w:eastAsia="Times New Roman" w:hAnsi="Times New Roman" w:cs="Times New Roman"/>
          <w:sz w:val="28"/>
          <w:szCs w:val="28"/>
          <w:lang w:eastAsia="uk-UA"/>
        </w:rPr>
        <w:t>капітаційна</w:t>
      </w:r>
      <w:proofErr w:type="spellEnd"/>
      <w:r w:rsidRPr="00A17D79">
        <w:rPr>
          <w:rFonts w:ascii="Times New Roman" w:eastAsia="Times New Roman" w:hAnsi="Times New Roman" w:cs="Times New Roman"/>
          <w:sz w:val="28"/>
          <w:szCs w:val="28"/>
          <w:lang w:eastAsia="uk-UA"/>
        </w:rPr>
        <w:t xml:space="preserve"> ставка не підвищується.</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b/>
          <w:sz w:val="28"/>
          <w:szCs w:val="28"/>
          <w:lang w:eastAsia="uk-UA"/>
        </w:rPr>
      </w:pPr>
      <w:r w:rsidRPr="00A17D79">
        <w:rPr>
          <w:rFonts w:ascii="Times New Roman" w:eastAsia="Times New Roman" w:hAnsi="Times New Roman" w:cs="Times New Roman"/>
          <w:sz w:val="28"/>
          <w:szCs w:val="28"/>
          <w:lang w:eastAsia="uk-UA"/>
        </w:rPr>
        <w:t xml:space="preserve">Тому, ще раз зауважуємо, що з моменту встановлення відсотка податку на доходи фізичних осіб для бюджетів органів місцевого самоврядування в розмірі 60% пройшло більше 5 років, з того часу (особливо – з 2017 року) </w:t>
      </w:r>
      <w:r w:rsidRPr="00A17D79">
        <w:rPr>
          <w:rFonts w:ascii="Times New Roman" w:eastAsia="Times New Roman" w:hAnsi="Times New Roman" w:cs="Times New Roman"/>
          <w:b/>
          <w:sz w:val="28"/>
          <w:szCs w:val="28"/>
          <w:lang w:eastAsia="uk-UA"/>
        </w:rPr>
        <w:t>на органи місцевого самоврядування перекладено цілий ряд делегованих повноважень без закріплення  відповідного фінансового ресурсу для їх виконання.</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Усе вищевикладене є серйозною загроз</w:t>
      </w:r>
      <w:r>
        <w:rPr>
          <w:rFonts w:ascii="Times New Roman" w:eastAsia="Times New Roman" w:hAnsi="Times New Roman" w:cs="Times New Roman"/>
          <w:sz w:val="28"/>
          <w:szCs w:val="28"/>
          <w:lang w:eastAsia="uk-UA"/>
        </w:rPr>
        <w:t xml:space="preserve">ою децентралізації, і загалом </w:t>
      </w:r>
      <w:proofErr w:type="spellStart"/>
      <w:r>
        <w:rPr>
          <w:rFonts w:ascii="Times New Roman" w:eastAsia="Times New Roman" w:hAnsi="Times New Roman" w:cs="Times New Roman"/>
          <w:sz w:val="28"/>
          <w:szCs w:val="28"/>
          <w:lang w:eastAsia="uk-UA"/>
        </w:rPr>
        <w:t>–</w:t>
      </w:r>
      <w:r w:rsidRPr="00A17D79">
        <w:rPr>
          <w:rFonts w:ascii="Times New Roman" w:eastAsia="Times New Roman" w:hAnsi="Times New Roman" w:cs="Times New Roman"/>
          <w:sz w:val="28"/>
          <w:szCs w:val="28"/>
          <w:lang w:eastAsia="uk-UA"/>
        </w:rPr>
        <w:t>фінансової</w:t>
      </w:r>
      <w:proofErr w:type="spellEnd"/>
      <w:r w:rsidRPr="00A17D79">
        <w:rPr>
          <w:rFonts w:ascii="Times New Roman" w:eastAsia="Times New Roman" w:hAnsi="Times New Roman" w:cs="Times New Roman"/>
          <w:sz w:val="28"/>
          <w:szCs w:val="28"/>
          <w:lang w:eastAsia="uk-UA"/>
        </w:rPr>
        <w:t xml:space="preserve"> стабільності бюджетів органів місцевого самоврядування, значним послабленням фінансової спроможності останніх.</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xml:space="preserve">Потребує удосконалення механізм горизонтального вирівнювання </w:t>
      </w:r>
      <w:proofErr w:type="spellStart"/>
      <w:r w:rsidRPr="00A17D79">
        <w:rPr>
          <w:rFonts w:ascii="Times New Roman" w:eastAsia="Times New Roman" w:hAnsi="Times New Roman" w:cs="Times New Roman"/>
          <w:sz w:val="28"/>
          <w:szCs w:val="28"/>
          <w:lang w:eastAsia="uk-UA"/>
        </w:rPr>
        <w:t>податкоспоможності</w:t>
      </w:r>
      <w:proofErr w:type="spellEnd"/>
      <w:r w:rsidRPr="00A17D79">
        <w:rPr>
          <w:rFonts w:ascii="Times New Roman" w:eastAsia="Times New Roman" w:hAnsi="Times New Roman" w:cs="Times New Roman"/>
          <w:sz w:val="28"/>
          <w:szCs w:val="28"/>
          <w:lang w:eastAsia="uk-UA"/>
        </w:rPr>
        <w:t xml:space="preserve"> бюджетів місцевого самоврядування, і Асоціація ОТГ просить взяти до уваги аргументацію, викладену у листі від 26.03.2020 № 0111, і врахувати її під час формування розрахункових показників місцевих бюджетів на 2021 рік.</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Асоціація ОТГ також констатує, що надто актуальною залишається сфера соціального-економічного розвитку громад. І у вже створених громад, і громад, які будуть утворені згідно з новими перспективними планами, є величезна потреба в субвенції на формування інфраструктури територіальних громад.</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Територіальні громади потребують  фінансової підтримки держави, оскільки інфраструктура, яку вони отримують від районних державних адміністрацій у свою власність, потребує суттєвих фінансових вкладень для приведення її до належного стану з метою раціонального використання її в цілях надання ефективних послуг територіальним громадам. Цю інфраструктуру ні в якому разі не можна порівнювати із інфраструктурою, приміром, міст обласного значення, яка формувалася десятиліттями, і подекуди до цього часу перебуває не в найкращому стані.</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xml:space="preserve">Тому, це дуже необхідний суттєвий для органів ОТГ ресурс, і практика передбачення відповідної субвенції з тим же формульним механізмом розподілу між бюджетами місцевого самоврядування має бути збережена у процесі формування проекту Державного бюджету на наступний рік. Пропозиції щодо внесення відповідних змін до Бюджетного кодексу України Асоціація ОТГ подала і </w:t>
      </w:r>
      <w:proofErr w:type="spellStart"/>
      <w:r w:rsidRPr="00A17D79">
        <w:rPr>
          <w:rFonts w:ascii="Times New Roman" w:eastAsia="Times New Roman" w:hAnsi="Times New Roman" w:cs="Times New Roman"/>
          <w:sz w:val="28"/>
          <w:szCs w:val="28"/>
          <w:lang w:eastAsia="uk-UA"/>
        </w:rPr>
        <w:t>Мінрегіону</w:t>
      </w:r>
      <w:proofErr w:type="spellEnd"/>
      <w:r w:rsidRPr="00A17D79">
        <w:rPr>
          <w:rFonts w:ascii="Times New Roman" w:eastAsia="Times New Roman" w:hAnsi="Times New Roman" w:cs="Times New Roman"/>
          <w:sz w:val="28"/>
          <w:szCs w:val="28"/>
          <w:lang w:eastAsia="uk-UA"/>
        </w:rPr>
        <w:t xml:space="preserve"> і Комітету Верховної Ради України з питань бюджету.</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 xml:space="preserve">Асоціація ОТГ досягла повного консенсусу з Мінфіном в частині  необхідності скасування пільг, наданих гірничодобувним підприємствам для видобування корисних копалин та розробки родовищ корисних копалин, продовження не застосування пільги для земельних ділянок </w:t>
      </w:r>
      <w:r w:rsidRPr="00A17D79">
        <w:rPr>
          <w:rFonts w:ascii="Times New Roman" w:eastAsia="Times New Roman" w:hAnsi="Times New Roman" w:cs="Times New Roman"/>
          <w:sz w:val="28"/>
          <w:szCs w:val="28"/>
          <w:lang w:eastAsia="uk-UA"/>
        </w:rPr>
        <w:lastRenderedPageBreak/>
        <w:t>залізничного транспорту та відновлення проведення індексації нормативної грошової оцінки землі та встановлення коефіцієнту індексації на рівні реального індексу інфляції, і просить продовжувати відстоювати і в подальшому порушенні питання, оскільки мова йде про вагомий фінансовий ресурс бюджетів місцевого самоврядування, який відіграє важливу роль у збалансуванні всієї бюджетної системи України.</w:t>
      </w:r>
    </w:p>
    <w:p w:rsidR="00A17D79" w:rsidRPr="00A17D79" w:rsidRDefault="00A17D79" w:rsidP="00A17D79">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A17D79">
        <w:rPr>
          <w:rFonts w:ascii="Times New Roman" w:eastAsia="Times New Roman" w:hAnsi="Times New Roman" w:cs="Times New Roman"/>
          <w:sz w:val="28"/>
          <w:szCs w:val="28"/>
          <w:lang w:eastAsia="uk-UA"/>
        </w:rPr>
        <w:t>Є нагальна потреба у передбаченні додаткової дотації місцевим бюджетам на здійснення видатків з утримання закладів освіти та охорони здоров’я.</w:t>
      </w:r>
    </w:p>
    <w:p w:rsidR="0054013D" w:rsidRPr="00A17D79" w:rsidRDefault="0054013D" w:rsidP="00A17D79">
      <w:pPr>
        <w:jc w:val="both"/>
        <w:rPr>
          <w:rFonts w:ascii="Times New Roman" w:hAnsi="Times New Roman" w:cs="Times New Roman"/>
          <w:sz w:val="28"/>
          <w:szCs w:val="28"/>
        </w:rPr>
      </w:pPr>
    </w:p>
    <w:sectPr w:rsidR="0054013D" w:rsidRPr="00A17D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D69"/>
    <w:multiLevelType w:val="multilevel"/>
    <w:tmpl w:val="62F8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6113C"/>
    <w:multiLevelType w:val="multilevel"/>
    <w:tmpl w:val="DEF6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21BA6"/>
    <w:multiLevelType w:val="multilevel"/>
    <w:tmpl w:val="EA24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79"/>
    <w:rsid w:val="000E70EF"/>
    <w:rsid w:val="0054013D"/>
    <w:rsid w:val="009A1B34"/>
    <w:rsid w:val="00A17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17D7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7D7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A17D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A17D79"/>
    <w:rPr>
      <w:i/>
      <w:iCs/>
    </w:rPr>
  </w:style>
  <w:style w:type="character" w:styleId="a5">
    <w:name w:val="Strong"/>
    <w:basedOn w:val="a0"/>
    <w:uiPriority w:val="22"/>
    <w:qFormat/>
    <w:rsid w:val="00A17D79"/>
    <w:rPr>
      <w:b/>
      <w:bCs/>
    </w:rPr>
  </w:style>
  <w:style w:type="paragraph" w:styleId="a6">
    <w:name w:val="Balloon Text"/>
    <w:basedOn w:val="a"/>
    <w:link w:val="a7"/>
    <w:uiPriority w:val="99"/>
    <w:semiHidden/>
    <w:unhideWhenUsed/>
    <w:rsid w:val="00A17D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7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17D7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7D7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A17D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A17D79"/>
    <w:rPr>
      <w:i/>
      <w:iCs/>
    </w:rPr>
  </w:style>
  <w:style w:type="character" w:styleId="a5">
    <w:name w:val="Strong"/>
    <w:basedOn w:val="a0"/>
    <w:uiPriority w:val="22"/>
    <w:qFormat/>
    <w:rsid w:val="00A17D79"/>
    <w:rPr>
      <w:b/>
      <w:bCs/>
    </w:rPr>
  </w:style>
  <w:style w:type="paragraph" w:styleId="a6">
    <w:name w:val="Balloon Text"/>
    <w:basedOn w:val="a"/>
    <w:link w:val="a7"/>
    <w:uiPriority w:val="99"/>
    <w:semiHidden/>
    <w:unhideWhenUsed/>
    <w:rsid w:val="00A17D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7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14663">
      <w:bodyDiv w:val="1"/>
      <w:marLeft w:val="0"/>
      <w:marRight w:val="0"/>
      <w:marTop w:val="0"/>
      <w:marBottom w:val="0"/>
      <w:divBdr>
        <w:top w:val="none" w:sz="0" w:space="0" w:color="auto"/>
        <w:left w:val="none" w:sz="0" w:space="0" w:color="auto"/>
        <w:bottom w:val="none" w:sz="0" w:space="0" w:color="auto"/>
        <w:right w:val="none" w:sz="0" w:space="0" w:color="auto"/>
      </w:divBdr>
      <w:divsChild>
        <w:div w:id="680090639">
          <w:marLeft w:val="0"/>
          <w:marRight w:val="0"/>
          <w:marTop w:val="0"/>
          <w:marBottom w:val="0"/>
          <w:divBdr>
            <w:top w:val="none" w:sz="0" w:space="0" w:color="auto"/>
            <w:left w:val="none" w:sz="0" w:space="0" w:color="auto"/>
            <w:bottom w:val="none" w:sz="0" w:space="0" w:color="auto"/>
            <w:right w:val="none" w:sz="0" w:space="0" w:color="auto"/>
          </w:divBdr>
        </w:div>
        <w:div w:id="192547789">
          <w:marLeft w:val="0"/>
          <w:marRight w:val="0"/>
          <w:marTop w:val="0"/>
          <w:marBottom w:val="0"/>
          <w:divBdr>
            <w:top w:val="none" w:sz="0" w:space="0" w:color="auto"/>
            <w:left w:val="none" w:sz="0" w:space="0" w:color="auto"/>
            <w:bottom w:val="none" w:sz="0" w:space="0" w:color="auto"/>
            <w:right w:val="none" w:sz="0" w:space="0" w:color="auto"/>
          </w:divBdr>
          <w:divsChild>
            <w:div w:id="1287007599">
              <w:marLeft w:val="0"/>
              <w:marRight w:val="0"/>
              <w:marTop w:val="0"/>
              <w:marBottom w:val="0"/>
              <w:divBdr>
                <w:top w:val="none" w:sz="0" w:space="0" w:color="auto"/>
                <w:left w:val="none" w:sz="0" w:space="0" w:color="auto"/>
                <w:bottom w:val="none" w:sz="0" w:space="0" w:color="auto"/>
                <w:right w:val="none" w:sz="0" w:space="0" w:color="auto"/>
              </w:divBdr>
              <w:divsChild>
                <w:div w:id="1181822851">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6124</Words>
  <Characters>3492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2020-09-04T08:04:00Z</dcterms:created>
  <dcterms:modified xsi:type="dcterms:W3CDTF">2020-09-04T09:41:00Z</dcterms:modified>
</cp:coreProperties>
</file>